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rFonts w:hint="eastAsia"/>
          <w:b/>
          <w:color w:val="000000"/>
          <w:kern w:val="0"/>
          <w:sz w:val="24"/>
          <w:szCs w:val="11"/>
        </w:rPr>
      </w:pPr>
      <w:r>
        <w:rPr>
          <w:rFonts w:hint="eastAsia"/>
          <w:b/>
          <w:color w:val="000000"/>
          <w:kern w:val="0"/>
          <w:sz w:val="44"/>
        </w:rPr>
        <w:t>行政处罚决定书</w:t>
      </w:r>
    </w:p>
    <w:p>
      <w:pPr>
        <w:autoSpaceDE w:val="0"/>
        <w:autoSpaceDN w:val="0"/>
        <w:ind w:right="400"/>
        <w:jc w:val="right"/>
        <w:rPr>
          <w:rFonts w:hint="eastAsia" w:ascii="仿宋_GB2312" w:hAnsi="仿宋_GB2312" w:eastAsia="仿宋_GB2312" w:cs="仿宋_GB2312"/>
          <w:color w:val="000000"/>
          <w:spacing w:val="-20"/>
          <w:kern w:val="0"/>
          <w:sz w:val="28"/>
          <w:szCs w:val="28"/>
        </w:rPr>
      </w:pPr>
      <w:r>
        <w:rPr>
          <w:rFonts w:ascii="仿宋_GB2312" w:hAnsi="仿宋" w:eastAsia="仿宋_GB2312"/>
          <w:color w:val="000000"/>
          <w:spacing w:val="-20"/>
          <w:sz w:val="28"/>
          <w:szCs w:val="28"/>
        </w:rPr>
        <mc:AlternateContent>
          <mc:Choice Requires="wps">
            <w:drawing>
              <wp:anchor distT="0" distB="0" distL="114300" distR="114300" simplePos="0" relativeHeight="251663360" behindDoc="0" locked="0" layoutInCell="1" allowOverlap="1">
                <wp:simplePos x="0" y="0"/>
                <wp:positionH relativeFrom="column">
                  <wp:posOffset>-167640</wp:posOffset>
                </wp:positionH>
                <wp:positionV relativeFrom="paragraph">
                  <wp:posOffset>356235</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13.2pt;margin-top:28.05pt;height:0.05pt;width:442.2pt;z-index:251663360;mso-width-relative:page;mso-height-relative:page;" filled="f" stroked="t" coordsize="21600,21600" o:gfxdata="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Uh+wdYAAAAJAQAADwAAAAAAAAABACAAAAAiAAAAZHJzL2Rvd25yZXYueG1s&#10;UEsBAhQAFAAAAAgAh07iQJE1SEvBAQAAjgMAAA4AAAAAAAAAAQAgAAAAJQEAAGRycy9lMm9Eb2Mu&#10;eG1sUEsFBgAAAAAGAAYAWQEAAFgFAAAAAA==&#10;">
                <v:fill on="f" focussize="0,0"/>
                <v:stroke weight="1.5pt" color="#000000" joinstyle="round"/>
                <v:imagedata o:title=""/>
                <o:lock v:ext="edit" aspectratio="f"/>
              </v:line>
            </w:pict>
          </mc:Fallback>
        </mc:AlternateContent>
      </w:r>
      <w:r>
        <w:rPr>
          <w:rFonts w:hint="eastAsia" w:ascii="仿宋_GB2312" w:hAnsi="仿宋" w:eastAsia="仿宋_GB2312"/>
          <w:color w:val="000000"/>
          <w:spacing w:val="-20"/>
          <w:sz w:val="28"/>
          <w:szCs w:val="28"/>
          <w:lang w:val="en-US" w:eastAsia="zh-CN"/>
        </w:rPr>
        <w:t xml:space="preserve">  </w:t>
      </w:r>
      <w:r>
        <w:rPr>
          <w:rFonts w:hint="eastAsia" w:ascii="仿宋_GB2312" w:hAnsi="仿宋" w:eastAsia="仿宋_GB2312"/>
          <w:color w:val="000000"/>
          <w:spacing w:val="-20"/>
          <w:sz w:val="28"/>
          <w:szCs w:val="28"/>
        </w:rPr>
        <w:t>（增新）食药监食</w:t>
      </w:r>
      <w:r>
        <w:rPr>
          <w:rFonts w:hint="eastAsia" w:ascii="仿宋_GB2312" w:hAnsi="仿宋" w:eastAsia="仿宋_GB2312"/>
          <w:color w:val="000000"/>
          <w:spacing w:val="-20"/>
          <w:kern w:val="0"/>
          <w:sz w:val="28"/>
          <w:szCs w:val="28"/>
        </w:rPr>
        <w:t>罚</w:t>
      </w:r>
      <w:r>
        <w:rPr>
          <w:rFonts w:hint="eastAsia" w:ascii="仿宋_GB2312" w:hAnsi="仿宋" w:eastAsia="仿宋_GB2312"/>
          <w:color w:val="000000"/>
          <w:spacing w:val="-20"/>
          <w:sz w:val="28"/>
          <w:szCs w:val="28"/>
        </w:rPr>
        <w:t>〔2018〕</w:t>
      </w:r>
      <w:r>
        <w:rPr>
          <w:rFonts w:hint="eastAsia" w:ascii="仿宋_GB2312" w:hAnsi="仿宋" w:eastAsia="仿宋_GB2312"/>
          <w:color w:val="000000"/>
          <w:spacing w:val="-20"/>
          <w:sz w:val="28"/>
          <w:szCs w:val="28"/>
          <w:lang w:val="en-US" w:eastAsia="zh-CN"/>
        </w:rPr>
        <w:t>24</w:t>
      </w:r>
      <w:r>
        <w:rPr>
          <w:rFonts w:hint="eastAsia" w:ascii="仿宋_GB2312" w:hAnsi="仿宋" w:eastAsia="仿宋_GB2312"/>
          <w:color w:val="000000"/>
          <w:spacing w:val="-20"/>
          <w:kern w:val="0"/>
          <w:sz w:val="28"/>
          <w:szCs w:val="28"/>
        </w:rPr>
        <w:t xml:space="preserve">号 </w:t>
      </w:r>
      <w:r>
        <w:rPr>
          <w:rFonts w:hint="eastAsia" w:ascii="仿宋_GB2312" w:hAnsi="仿宋" w:eastAsia="仿宋_GB2312"/>
          <w:color w:val="000000"/>
          <w:spacing w:val="-20"/>
          <w:kern w:val="0"/>
          <w:sz w:val="28"/>
          <w:szCs w:val="28"/>
          <w:lang w:val="en-US" w:eastAsia="zh-CN"/>
        </w:rPr>
        <w:t xml:space="preserve"> </w:t>
      </w:r>
      <w:r>
        <w:rPr>
          <w:rFonts w:hint="eastAsia" w:ascii="仿宋_GB2312" w:hAnsi="仿宋" w:eastAsia="仿宋_GB2312"/>
          <w:color w:val="000000"/>
          <w:spacing w:val="-20"/>
          <w:kern w:val="0"/>
          <w:sz w:val="28"/>
          <w:szCs w:val="28"/>
        </w:rPr>
        <w:t>第1页  共</w:t>
      </w:r>
      <w:r>
        <w:rPr>
          <w:rFonts w:hint="eastAsia" w:ascii="仿宋_GB2312" w:hAnsi="仿宋" w:eastAsia="仿宋_GB2312"/>
          <w:color w:val="000000"/>
          <w:spacing w:val="-20"/>
          <w:kern w:val="0"/>
          <w:sz w:val="28"/>
          <w:szCs w:val="28"/>
          <w:lang w:val="en-US" w:eastAsia="zh-CN"/>
        </w:rPr>
        <w:t>3</w:t>
      </w:r>
      <w:r>
        <w:rPr>
          <w:rFonts w:hint="eastAsia" w:ascii="仿宋_GB2312" w:hAnsi="仿宋" w:eastAsia="仿宋_GB2312"/>
          <w:color w:val="000000"/>
          <w:spacing w:val="-20"/>
          <w:kern w:val="0"/>
          <w:sz w:val="28"/>
          <w:szCs w:val="28"/>
        </w:rPr>
        <w:t>页</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kern w:val="0"/>
          <w:sz w:val="32"/>
          <w:szCs w:val="32"/>
        </w:rPr>
        <w:t>当事人：</w:t>
      </w:r>
      <w:r>
        <w:rPr>
          <w:rFonts w:hint="eastAsia" w:ascii="仿宋" w:hAnsi="仿宋" w:eastAsia="仿宋" w:cs="仿宋"/>
          <w:bCs/>
          <w:color w:val="000000"/>
          <w:sz w:val="32"/>
          <w:szCs w:val="32"/>
        </w:rPr>
        <w:t>钟煜</w:t>
      </w:r>
      <w:r>
        <w:rPr>
          <w:rFonts w:hint="eastAsia" w:ascii="仿宋" w:hAnsi="仿宋" w:eastAsia="仿宋" w:cs="仿宋"/>
          <w:bCs/>
          <w:color w:val="000000"/>
          <w:sz w:val="32"/>
          <w:szCs w:val="32"/>
          <w:lang w:eastAsia="zh-CN"/>
        </w:rPr>
        <w:t>祺</w:t>
      </w:r>
      <w:r>
        <w:rPr>
          <w:rFonts w:hint="eastAsia" w:ascii="仿宋" w:hAnsi="仿宋" w:eastAsia="仿宋" w:cs="仿宋"/>
          <w:bCs/>
          <w:color w:val="000000"/>
          <w:sz w:val="32"/>
          <w:szCs w:val="32"/>
        </w:rPr>
        <w:t>（广州市增城荔绿福商务酒店）</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kern w:val="0"/>
          <w:sz w:val="32"/>
          <w:szCs w:val="32"/>
        </w:rPr>
        <w:t>地址（住址）：广州市增城区新塘镇东华村鸭脚坑（府前路28号）</w:t>
      </w:r>
      <w:r>
        <w:rPr>
          <w:rFonts w:hint="eastAsia" w:ascii="仿宋" w:hAnsi="仿宋" w:eastAsia="仿宋" w:cs="仿宋"/>
          <w:bCs/>
          <w:color w:val="000000"/>
          <w:sz w:val="32"/>
          <w:szCs w:val="32"/>
        </w:rPr>
        <w:t xml:space="preserve">        </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邮编：511300</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其他资质证明：《食品经营许可证》          </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hint="eastAsia" w:ascii="仿宋" w:hAnsi="仿宋" w:eastAsia="仿宋" w:cs="仿宋"/>
          <w:color w:val="000000"/>
          <w:sz w:val="32"/>
          <w:szCs w:val="32"/>
        </w:rPr>
      </w:pPr>
      <w:r>
        <w:rPr>
          <w:rFonts w:hint="eastAsia" w:ascii="仿宋" w:hAnsi="仿宋" w:eastAsia="仿宋" w:cs="仿宋"/>
          <w:color w:val="000000"/>
          <w:kern w:val="0"/>
          <w:sz w:val="32"/>
          <w:szCs w:val="32"/>
        </w:rPr>
        <w:t>编号：</w:t>
      </w:r>
      <w:r>
        <w:rPr>
          <w:rFonts w:hint="eastAsia" w:ascii="仿宋" w:hAnsi="仿宋" w:eastAsia="仿宋" w:cs="仿宋"/>
          <w:color w:val="000000"/>
          <w:sz w:val="32"/>
          <w:szCs w:val="32"/>
        </w:rPr>
        <w:t>JY14401830004653</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hint="eastAsia" w:ascii="仿宋" w:hAnsi="仿宋" w:eastAsia="仿宋" w:cs="仿宋"/>
          <w:color w:val="000000"/>
          <w:sz w:val="32"/>
          <w:szCs w:val="32"/>
        </w:rPr>
      </w:pPr>
      <w:r>
        <w:rPr>
          <w:rFonts w:hint="eastAsia" w:ascii="仿宋" w:hAnsi="仿宋" w:eastAsia="仿宋" w:cs="仿宋"/>
          <w:color w:val="000000"/>
          <w:kern w:val="0"/>
          <w:sz w:val="32"/>
          <w:szCs w:val="32"/>
        </w:rPr>
        <w:t>法定代表人（负责人）：</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rPr>
        <w:t xml:space="preserve">  性别：</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w:t>
      </w:r>
      <w:r>
        <w:rPr>
          <w:rFonts w:hint="eastAsia" w:ascii="仿宋" w:hAnsi="仿宋" w:eastAsia="仿宋" w:cs="仿宋"/>
          <w:color w:val="000000"/>
          <w:kern w:val="0"/>
          <w:sz w:val="32"/>
          <w:szCs w:val="32"/>
        </w:rPr>
        <w:t>职务：</w:t>
      </w:r>
      <w:r>
        <w:rPr>
          <w:rFonts w:hint="eastAsia" w:ascii="仿宋" w:hAnsi="仿宋" w:eastAsia="仿宋" w:cs="仿宋"/>
          <w:color w:val="000000"/>
          <w:kern w:val="0"/>
          <w:sz w:val="32"/>
          <w:szCs w:val="32"/>
          <w:lang w:eastAsia="zh-CN"/>
        </w:rPr>
        <w:t>负责人</w:t>
      </w:r>
    </w:p>
    <w:p>
      <w:pPr>
        <w:keepNext w:val="0"/>
        <w:keepLines w:val="0"/>
        <w:pageBreakBefore w:val="0"/>
        <w:kinsoku/>
        <w:wordWrap/>
        <w:overflowPunct/>
        <w:topLinePunct w:val="0"/>
        <w:bidi w:val="0"/>
        <w:adjustRightInd w:val="0"/>
        <w:snapToGrid w:val="0"/>
        <w:spacing w:line="240" w:lineRule="auto"/>
        <w:ind w:right="0" w:rightChars="0"/>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身份证号码：</w:t>
      </w:r>
      <w:r>
        <w:rPr>
          <w:rFonts w:hint="eastAsia" w:ascii="仿宋" w:hAnsi="仿宋" w:eastAsia="仿宋" w:cs="仿宋"/>
          <w:color w:val="000000"/>
          <w:sz w:val="32"/>
          <w:szCs w:val="32"/>
          <w:lang w:val="en-US" w:eastAsia="zh-CN"/>
        </w:rPr>
        <w:t>*******</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right="0" w:rightChars="0"/>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违法事实：</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60" w:lineRule="exact"/>
        <w:ind w:left="0" w:leftChars="0" w:right="0" w:rightChars="0" w:firstLine="640" w:firstLineChars="20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2018年3月22日，我局执法人员接投诉举报，依法对位于广州市增城区新塘镇东华村鸭脚坑（府前路28号）的“广州市增城荔绿福商务酒店”进行执法检查，现场检查发现有盐焗鸡腿（净含量：80g，生产日期：2017年9月11日，保质期180天）6包；盐焗鱼仔（净含量：60g，生产日期：2017年5月19日，保质期：9个月）3包；盐焗鱼仔（净含量：60g，生产日期：2017年8月13日，保质期：210天）2包；盐焗鱼仔（净含量：60g，生产日期：2017年3月19日，保质期：九个月）1包；素牛筋（净含量：130g，生产日期：2017年9月19日，保质期：6个月）5包；盐焗素鸡</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60" w:lineRule="exact"/>
        <w:ind w:left="0" w:leftChars="0" w:right="0" w:rightChars="0" w:firstLine="0" w:firstLine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筋（净含量：138g，生产日期：2017年7月14日，保质期：6个月）1包；意大利风味棒棒香（净含量：158g，生产日期：2017年3月3日，保质期：6个月）2包；爱情云吞（净含量：138g，生产日期：2017年3月27日，保质期：6个月）2包；好丽友派涂饰蛋类芯饼（巧克力味）（净含量：204g，生产日期：2017年4月20日，保质期：10个月）1包；慕斯雪芙蛋糕（原味）（净含量：180g，生产日期：2017年4</w:t>
      </w:r>
    </w:p>
    <w:p>
      <w:pPr>
        <w:pStyle w:val="6"/>
        <w:keepNext w:val="0"/>
        <w:keepLines w:val="0"/>
        <w:pageBreakBefore w:val="0"/>
        <w:kinsoku/>
        <w:wordWrap/>
        <w:overflowPunct/>
        <w:topLinePunct w:val="0"/>
        <w:autoSpaceDE/>
        <w:autoSpaceDN/>
        <w:bidi w:val="0"/>
        <w:adjustRightInd w:val="0"/>
        <w:snapToGrid w:val="0"/>
        <w:spacing w:before="0" w:after="0" w:line="460" w:lineRule="exact"/>
        <w:jc w:val="center"/>
        <w:textAlignment w:val="auto"/>
        <w:rPr>
          <w:rFonts w:hint="eastAsia" w:ascii="仿宋" w:hAnsi="仿宋" w:eastAsia="仿宋" w:cs="仿宋"/>
          <w:b/>
          <w:color w:val="000000"/>
          <w:sz w:val="32"/>
        </w:rPr>
      </w:pP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rFonts w:hint="eastAsia"/>
          <w:b/>
          <w:color w:val="000000"/>
          <w:kern w:val="0"/>
          <w:sz w:val="22"/>
          <w:szCs w:val="10"/>
          <w:lang w:eastAsia="zh-CN"/>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）副页</w:t>
      </w:r>
    </w:p>
    <w:p>
      <w:pPr>
        <w:autoSpaceDE w:val="0"/>
        <w:autoSpaceDN w:val="0"/>
        <w:ind w:right="400"/>
        <w:jc w:val="right"/>
        <w:rPr>
          <w:rFonts w:hint="eastAsia" w:ascii="仿宋_GB2312" w:hAnsi="仿宋_GB2312" w:eastAsia="仿宋_GB2312" w:cs="仿宋_GB2312"/>
          <w:color w:val="000000"/>
          <w:spacing w:val="-20"/>
          <w:kern w:val="0"/>
          <w:sz w:val="28"/>
          <w:szCs w:val="28"/>
        </w:rPr>
      </w:pPr>
      <w:r>
        <w:rPr>
          <w:rFonts w:ascii="仿宋_GB2312" w:hAnsi="仿宋" w:eastAsia="仿宋_GB2312"/>
          <w:color w:val="000000"/>
          <w:sz w:val="24"/>
          <w:szCs w:val="22"/>
        </w:rPr>
        <mc:AlternateContent>
          <mc:Choice Requires="wps">
            <w:drawing>
              <wp:anchor distT="0" distB="0" distL="114300" distR="114300" simplePos="0" relativeHeight="251669504" behindDoc="0" locked="0" layoutInCell="1" allowOverlap="1">
                <wp:simplePos x="0" y="0"/>
                <wp:positionH relativeFrom="column">
                  <wp:posOffset>-93980</wp:posOffset>
                </wp:positionH>
                <wp:positionV relativeFrom="paragraph">
                  <wp:posOffset>363220</wp:posOffset>
                </wp:positionV>
                <wp:extent cx="5615940" cy="635"/>
                <wp:effectExtent l="0" t="0" r="0" b="0"/>
                <wp:wrapNone/>
                <wp:docPr id="2"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7.4pt;margin-top:28.6pt;height:0.05pt;width:442.2pt;z-index:251669504;mso-width-relative:page;mso-height-relative:page;" filled="f" stroked="t" coordsize="21600,21600" o:gfxdata="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Zipix1wAAAAkBAAAPAAAAAAAAAAEAIAAAACIAAABkcnMvZG93bnJldi54&#10;bWxQSwECFAAUAAAACACHTuJA2c4VwsIBAACOAwAADgAAAAAAAAABACAAAAAmAQAAZHJzL2Uyb0Rv&#10;Yy54bWxQSwUGAAAAAAYABgBZAQAAWgUAAAAA&#10;">
                <v:fill on="f" focussize="0,0"/>
                <v:stroke weight="1.5pt" color="#000000" joinstyle="round"/>
                <v:imagedata o:title=""/>
                <o:lock v:ext="edit" aspectratio="f"/>
              </v:line>
            </w:pict>
          </mc:Fallback>
        </mc:AlternateContent>
      </w:r>
      <w:r>
        <w:rPr>
          <w:rFonts w:hint="eastAsia" w:ascii="仿宋_GB2312" w:hAnsi="仿宋" w:eastAsia="仿宋_GB2312"/>
          <w:color w:val="000000"/>
          <w:sz w:val="30"/>
          <w:szCs w:val="30"/>
          <w:lang w:val="en-US" w:eastAsia="zh-CN"/>
        </w:rPr>
        <w:t xml:space="preserve">     </w:t>
      </w:r>
      <w:r>
        <w:rPr>
          <w:rFonts w:hint="eastAsia" w:ascii="仿宋_GB2312" w:hAnsi="仿宋" w:eastAsia="仿宋_GB2312"/>
          <w:color w:val="000000"/>
          <w:spacing w:val="-20"/>
          <w:sz w:val="28"/>
          <w:szCs w:val="28"/>
        </w:rPr>
        <w:t>（增新）食药监食</w:t>
      </w:r>
      <w:r>
        <w:rPr>
          <w:rFonts w:hint="eastAsia" w:ascii="仿宋_GB2312" w:hAnsi="仿宋" w:eastAsia="仿宋_GB2312"/>
          <w:color w:val="000000"/>
          <w:spacing w:val="-20"/>
          <w:kern w:val="0"/>
          <w:sz w:val="28"/>
          <w:szCs w:val="28"/>
        </w:rPr>
        <w:t>罚</w:t>
      </w:r>
      <w:r>
        <w:rPr>
          <w:rFonts w:hint="eastAsia" w:ascii="仿宋_GB2312" w:hAnsi="仿宋" w:eastAsia="仿宋_GB2312"/>
          <w:color w:val="000000"/>
          <w:spacing w:val="-20"/>
          <w:sz w:val="28"/>
          <w:szCs w:val="28"/>
        </w:rPr>
        <w:t>〔2018〕</w:t>
      </w:r>
      <w:r>
        <w:rPr>
          <w:rFonts w:hint="eastAsia" w:ascii="仿宋_GB2312" w:hAnsi="仿宋" w:eastAsia="仿宋_GB2312"/>
          <w:color w:val="000000"/>
          <w:spacing w:val="-20"/>
          <w:sz w:val="28"/>
          <w:szCs w:val="28"/>
          <w:lang w:val="en-US" w:eastAsia="zh-CN"/>
        </w:rPr>
        <w:t>24</w:t>
      </w:r>
      <w:r>
        <w:rPr>
          <w:rFonts w:hint="eastAsia" w:ascii="仿宋_GB2312" w:hAnsi="仿宋" w:eastAsia="仿宋_GB2312"/>
          <w:color w:val="000000"/>
          <w:spacing w:val="-20"/>
          <w:kern w:val="0"/>
          <w:sz w:val="28"/>
          <w:szCs w:val="28"/>
        </w:rPr>
        <w:t xml:space="preserve">号 </w:t>
      </w:r>
      <w:r>
        <w:rPr>
          <w:rFonts w:hint="eastAsia" w:ascii="仿宋_GB2312" w:hAnsi="仿宋" w:eastAsia="仿宋_GB2312"/>
          <w:color w:val="000000"/>
          <w:spacing w:val="-20"/>
          <w:kern w:val="0"/>
          <w:sz w:val="28"/>
          <w:szCs w:val="28"/>
          <w:lang w:val="en-US" w:eastAsia="zh-CN"/>
        </w:rPr>
        <w:t xml:space="preserve">  </w:t>
      </w:r>
      <w:r>
        <w:rPr>
          <w:rFonts w:hint="eastAsia" w:ascii="仿宋_GB2312" w:hAnsi="仿宋" w:eastAsia="仿宋_GB2312"/>
          <w:color w:val="000000"/>
          <w:spacing w:val="-20"/>
          <w:kern w:val="0"/>
          <w:sz w:val="28"/>
          <w:szCs w:val="28"/>
        </w:rPr>
        <w:t>第</w:t>
      </w:r>
      <w:r>
        <w:rPr>
          <w:rFonts w:hint="eastAsia" w:ascii="仿宋_GB2312" w:hAnsi="仿宋" w:eastAsia="仿宋_GB2312"/>
          <w:color w:val="000000"/>
          <w:spacing w:val="-20"/>
          <w:kern w:val="0"/>
          <w:sz w:val="28"/>
          <w:szCs w:val="28"/>
          <w:lang w:val="en-US" w:eastAsia="zh-CN"/>
        </w:rPr>
        <w:t>2</w:t>
      </w:r>
      <w:r>
        <w:rPr>
          <w:rFonts w:hint="eastAsia" w:ascii="仿宋_GB2312" w:hAnsi="仿宋" w:eastAsia="仿宋_GB2312"/>
          <w:color w:val="000000"/>
          <w:spacing w:val="-20"/>
          <w:kern w:val="0"/>
          <w:sz w:val="28"/>
          <w:szCs w:val="28"/>
        </w:rPr>
        <w:t>页 共</w:t>
      </w:r>
      <w:r>
        <w:rPr>
          <w:rFonts w:hint="eastAsia" w:ascii="仿宋_GB2312" w:hAnsi="仿宋" w:eastAsia="仿宋_GB2312"/>
          <w:color w:val="000000"/>
          <w:spacing w:val="-20"/>
          <w:kern w:val="0"/>
          <w:sz w:val="28"/>
          <w:szCs w:val="28"/>
          <w:lang w:val="en-US" w:eastAsia="zh-CN"/>
        </w:rPr>
        <w:t>3</w:t>
      </w:r>
      <w:r>
        <w:rPr>
          <w:rFonts w:hint="eastAsia" w:ascii="仿宋_GB2312" w:hAnsi="仿宋" w:eastAsia="仿宋_GB2312"/>
          <w:color w:val="000000"/>
          <w:spacing w:val="-20"/>
          <w:kern w:val="0"/>
          <w:sz w:val="28"/>
          <w:szCs w:val="28"/>
        </w:rPr>
        <w:t>页</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left="0" w:leftChars="0" w:right="0" w:rightChars="0" w:firstLine="0" w:firstLine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月1日，保质期：6个月）1包；慕斯雪芙蛋糕（香蕉牛奶味）（净含量：180g，生产日期：2017年4月2日，保质期：</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left="0" w:leftChars="0" w:right="0" w:rightChars="0" w:firstLine="0" w:firstLine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6个月）1包；鹌鹑蛋（净含量：80g，生产日期：2017年9月11日，保质期：180天）1包；鹌鹑蛋（净含量：80g，生产日期：2017年6月23日，保质期：180天）1包；素笨牛肉（净含量：258g，生产日期：2017年9月11日，保质期：180天）1包。上述食品均超过保质期。你单位提供了供货商及生产商的相关单据备查，可知当上述食品超过保质期后，</w:t>
      </w:r>
      <w:r>
        <w:rPr>
          <w:rFonts w:hint="eastAsia" w:ascii="仿宋" w:hAnsi="仿宋" w:eastAsia="仿宋" w:cs="仿宋"/>
          <w:color w:val="000000"/>
          <w:sz w:val="32"/>
          <w:szCs w:val="32"/>
          <w:lang w:eastAsia="zh-CN"/>
        </w:rPr>
        <w:t>可知当上述食品超过保质期后，可确认的现场扣押过期食品货值为</w:t>
      </w:r>
      <w:r>
        <w:rPr>
          <w:rFonts w:hint="eastAsia" w:ascii="仿宋" w:hAnsi="仿宋" w:eastAsia="仿宋" w:cs="仿宋"/>
          <w:color w:val="000000"/>
          <w:sz w:val="32"/>
          <w:szCs w:val="32"/>
          <w:lang w:val="en-US" w:eastAsia="zh-CN"/>
        </w:rPr>
        <w:t>***元</w:t>
      </w:r>
      <w:r>
        <w:rPr>
          <w:rFonts w:hint="eastAsia" w:ascii="仿宋" w:hAnsi="仿宋" w:eastAsia="仿宋" w:cs="仿宋"/>
          <w:color w:val="000000"/>
          <w:sz w:val="32"/>
          <w:szCs w:val="32"/>
        </w:rPr>
        <w:t>。由于你单位无法提供当上述食品超过保质期后共销售</w:t>
      </w:r>
      <w:r>
        <w:rPr>
          <w:rFonts w:hint="eastAsia" w:ascii="仿宋" w:hAnsi="仿宋" w:eastAsia="仿宋" w:cs="仿宋"/>
          <w:color w:val="000000"/>
          <w:sz w:val="32"/>
          <w:szCs w:val="32"/>
          <w:lang w:eastAsia="zh-CN"/>
        </w:rPr>
        <w:t>的数量</w:t>
      </w:r>
      <w:r>
        <w:rPr>
          <w:rFonts w:hint="eastAsia" w:ascii="仿宋" w:hAnsi="仿宋" w:eastAsia="仿宋" w:cs="仿宋"/>
          <w:color w:val="000000"/>
          <w:sz w:val="32"/>
          <w:szCs w:val="32"/>
        </w:rPr>
        <w:t>，故违法所得无法计算。</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left="0" w:leftChars="0" w:right="0" w:rightChars="0" w:firstLine="640" w:firstLineChars="200"/>
        <w:jc w:val="both"/>
        <w:textAlignment w:val="auto"/>
        <w:outlineLvl w:val="9"/>
        <w:rPr>
          <w:rFonts w:hint="eastAsia" w:ascii="仿宋" w:hAnsi="仿宋" w:eastAsia="仿宋" w:cs="仿宋"/>
          <w:b/>
          <w:bCs/>
          <w:color w:val="000000"/>
          <w:kern w:val="0"/>
          <w:sz w:val="32"/>
          <w:szCs w:val="32"/>
        </w:rPr>
      </w:pPr>
      <w:r>
        <w:rPr>
          <w:rFonts w:hint="eastAsia" w:ascii="仿宋" w:hAnsi="仿宋" w:eastAsia="仿宋" w:cs="仿宋"/>
          <w:color w:val="000000"/>
          <w:sz w:val="32"/>
          <w:szCs w:val="32"/>
        </w:rPr>
        <w:t>你单位销售超过保质期的食品的行为，违反了《中华人民共和国食品安全法》第三十四条第（十）项“禁止生产经营下列食品、食品添加剂、食品相关产品：……；（十）标注虚假生产日期、保质期或者超过保质期的食品、食品添加剂；……”的规定。</w:t>
      </w:r>
    </w:p>
    <w:p>
      <w:pPr>
        <w:keepNext w:val="0"/>
        <w:keepLines w:val="0"/>
        <w:pageBreakBefore w:val="0"/>
        <w:widowControl/>
        <w:kinsoku/>
        <w:wordWrap/>
        <w:overflowPunct/>
        <w:topLinePunct w:val="0"/>
        <w:autoSpaceDE/>
        <w:autoSpaceDN/>
        <w:bidi w:val="0"/>
        <w:adjustRightInd w:val="0"/>
        <w:snapToGrid w:val="0"/>
        <w:spacing w:line="440" w:lineRule="exact"/>
        <w:ind w:right="0" w:rightChars="0"/>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相关证据：</w:t>
      </w:r>
    </w:p>
    <w:p>
      <w:pPr>
        <w:keepNext w:val="0"/>
        <w:keepLines w:val="0"/>
        <w:pageBreakBefore w:val="0"/>
        <w:widowControl/>
        <w:kinsoku/>
        <w:wordWrap/>
        <w:overflowPunct/>
        <w:topLinePunct w:val="0"/>
        <w:autoSpaceDE/>
        <w:autoSpaceDN/>
        <w:bidi w:val="0"/>
        <w:adjustRightInd w:val="0"/>
        <w:snapToGrid w:val="0"/>
        <w:spacing w:line="440" w:lineRule="exact"/>
        <w:ind w:left="0" w:leftChars="0" w:right="0" w:rightChars="0" w:firstLine="640" w:firstLineChars="200"/>
        <w:jc w:val="left"/>
        <w:textAlignment w:val="auto"/>
        <w:outlineLvl w:val="9"/>
        <w:rPr>
          <w:rFonts w:hint="eastAsia" w:ascii="仿宋" w:hAnsi="仿宋" w:eastAsia="仿宋" w:cs="仿宋"/>
          <w:bCs/>
          <w:color w:val="000000"/>
          <w:sz w:val="32"/>
          <w:szCs w:val="32"/>
        </w:rPr>
      </w:pPr>
      <w:r>
        <w:rPr>
          <w:rFonts w:hint="eastAsia" w:ascii="仿宋" w:hAnsi="仿宋" w:eastAsia="仿宋" w:cs="仿宋"/>
          <w:bCs/>
          <w:color w:val="000000"/>
          <w:sz w:val="32"/>
          <w:szCs w:val="32"/>
        </w:rPr>
        <w:t>1、广州市增城荔绿福商务酒店的《营业执照》和《食品经营许可证》复印件各1份；2、法定代表人钟煜</w:t>
      </w:r>
      <w:r>
        <w:rPr>
          <w:rFonts w:hint="eastAsia" w:ascii="仿宋" w:hAnsi="仿宋" w:eastAsia="仿宋" w:cs="仿宋"/>
          <w:bCs/>
          <w:color w:val="000000"/>
          <w:sz w:val="32"/>
          <w:szCs w:val="32"/>
          <w:lang w:eastAsia="zh-CN"/>
        </w:rPr>
        <w:t>祺</w:t>
      </w:r>
      <w:r>
        <w:rPr>
          <w:rFonts w:hint="eastAsia" w:ascii="仿宋" w:hAnsi="仿宋" w:eastAsia="仿宋" w:cs="仿宋"/>
          <w:bCs/>
          <w:color w:val="000000"/>
          <w:sz w:val="32"/>
          <w:szCs w:val="32"/>
        </w:rPr>
        <w:t>的身份证复印件1份；3.委托书及被委托人身份证复印件1份；4、现场检查笔录、询问调查笔录各1份；5、现场检查照片4张；5、供货商“</w:t>
      </w:r>
      <w:r>
        <w:rPr>
          <w:rFonts w:hint="eastAsia" w:ascii="仿宋" w:hAnsi="仿宋" w:eastAsia="仿宋" w:cs="仿宋"/>
          <w:bCs/>
          <w:color w:val="000000"/>
          <w:sz w:val="32"/>
          <w:szCs w:val="32"/>
          <w:lang w:val="en-US" w:eastAsia="zh-CN"/>
        </w:rPr>
        <w:t>******</w:t>
      </w:r>
      <w:r>
        <w:rPr>
          <w:rFonts w:hint="eastAsia" w:ascii="仿宋" w:hAnsi="仿宋" w:eastAsia="仿宋" w:cs="仿宋"/>
          <w:bCs/>
          <w:color w:val="000000"/>
          <w:sz w:val="32"/>
          <w:szCs w:val="32"/>
        </w:rPr>
        <w:t>”的营业执照及食品经营许可证、进货单据复印件共11份。</w:t>
      </w:r>
    </w:p>
    <w:p>
      <w:pPr>
        <w:keepNext w:val="0"/>
        <w:keepLines w:val="0"/>
        <w:pageBreakBefore w:val="0"/>
        <w:widowControl/>
        <w:kinsoku/>
        <w:wordWrap/>
        <w:overflowPunct/>
        <w:topLinePunct w:val="0"/>
        <w:autoSpaceDE/>
        <w:autoSpaceDN/>
        <w:bidi w:val="0"/>
        <w:adjustRightInd w:val="0"/>
        <w:snapToGrid w:val="0"/>
        <w:spacing w:line="440" w:lineRule="exact"/>
        <w:ind w:right="0" w:rightChars="0"/>
        <w:jc w:val="lef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行政处罚依据和种类：</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left="0" w:leftChars="0" w:right="0" w:rightChars="0" w:firstLine="640" w:firstLineChars="200"/>
        <w:jc w:val="both"/>
        <w:textAlignment w:val="auto"/>
        <w:outlineLvl w:val="9"/>
        <w:rPr>
          <w:rFonts w:hint="eastAsia" w:ascii="仿宋" w:hAnsi="仿宋" w:eastAsia="仿宋" w:cs="仿宋"/>
          <w:b/>
          <w:color w:val="000000"/>
          <w:sz w:val="32"/>
        </w:rPr>
      </w:pPr>
      <w:r>
        <w:rPr>
          <w:rFonts w:hint="eastAsia" w:ascii="仿宋" w:hAnsi="仿宋" w:eastAsia="仿宋" w:cs="仿宋"/>
          <w:color w:val="000000"/>
          <w:sz w:val="32"/>
          <w:szCs w:val="32"/>
        </w:rPr>
        <w:t>对于你单位销售超过保质期的食品的行为，依据《中华人民共和国食品安全法》第一百二十四条第一款第（五）项</w:t>
      </w:r>
    </w:p>
    <w:p>
      <w:pPr>
        <w:pStyle w:val="6"/>
        <w:spacing w:before="0" w:after="0"/>
        <w:jc w:val="center"/>
        <w:rPr>
          <w:rFonts w:hint="eastAsia" w:ascii="仿宋" w:hAnsi="仿宋" w:eastAsia="仿宋" w:cs="仿宋"/>
          <w:b/>
          <w:color w:val="000000"/>
          <w:sz w:val="32"/>
        </w:rPr>
      </w:pP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rFonts w:hint="eastAsia"/>
          <w:b/>
          <w:color w:val="000000"/>
          <w:kern w:val="0"/>
          <w:sz w:val="30"/>
          <w:szCs w:val="30"/>
          <w:lang w:eastAsia="zh-CN"/>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）副页</w:t>
      </w:r>
    </w:p>
    <w:p>
      <w:pPr>
        <w:autoSpaceDE w:val="0"/>
        <w:autoSpaceDN w:val="0"/>
        <w:ind w:right="400"/>
        <w:jc w:val="right"/>
        <w:rPr>
          <w:rFonts w:ascii="仿宋_GB2312" w:hAnsi="仿宋" w:eastAsia="仿宋_GB2312"/>
          <w:color w:val="000000"/>
          <w:spacing w:val="-20"/>
          <w:kern w:val="0"/>
          <w:sz w:val="28"/>
          <w:szCs w:val="28"/>
        </w:rPr>
      </w:pPr>
      <w:r>
        <w:rPr>
          <w:rFonts w:ascii="仿宋_GB2312" w:hAnsi="仿宋" w:eastAsia="仿宋_GB2312"/>
          <w:color w:val="000000"/>
          <w:spacing w:val="-20"/>
          <w:sz w:val="28"/>
          <w:szCs w:val="28"/>
        </w:rPr>
        <mc:AlternateContent>
          <mc:Choice Requires="wps">
            <w:drawing>
              <wp:anchor distT="0" distB="0" distL="114300" distR="114300" simplePos="0" relativeHeight="251675648" behindDoc="0" locked="0" layoutInCell="1" allowOverlap="1">
                <wp:simplePos x="0" y="0"/>
                <wp:positionH relativeFrom="column">
                  <wp:posOffset>-200025</wp:posOffset>
                </wp:positionH>
                <wp:positionV relativeFrom="paragraph">
                  <wp:posOffset>363855</wp:posOffset>
                </wp:positionV>
                <wp:extent cx="5615940" cy="635"/>
                <wp:effectExtent l="0" t="0" r="0" b="0"/>
                <wp:wrapNone/>
                <wp:docPr id="3"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15.75pt;margin-top:28.65pt;height:0.05pt;width:442.2pt;z-index:251675648;mso-width-relative:page;mso-height-relative:page;" filled="f" stroked="t" coordsize="21600,21600" o:gfxdata="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KaY5j1wAAAAkBAAAPAAAAAAAAAAEAIAAAACIAAABkcnMvZG93bnJldi54&#10;bWxQSwECFAAUAAAACACHTuJA3mUODMIBAACOAwAADgAAAAAAAAABACAAAAAmAQAAZHJzL2Uyb0Rv&#10;Yy54bWxQSwUGAAAAAAYABgBZAQAAWgUAAAAA&#10;">
                <v:fill on="f" focussize="0,0"/>
                <v:stroke weight="1.5pt" color="#000000" joinstyle="round"/>
                <v:imagedata o:title=""/>
                <o:lock v:ext="edit" aspectratio="f"/>
              </v:line>
            </w:pict>
          </mc:Fallback>
        </mc:AlternateContent>
      </w:r>
      <w:r>
        <w:rPr>
          <w:rFonts w:hint="eastAsia" w:ascii="仿宋_GB2312" w:hAnsi="仿宋" w:eastAsia="仿宋_GB2312"/>
          <w:color w:val="000000"/>
          <w:spacing w:val="-20"/>
          <w:sz w:val="28"/>
          <w:szCs w:val="28"/>
        </w:rPr>
        <w:t>（增新）食药监食</w:t>
      </w:r>
      <w:r>
        <w:rPr>
          <w:rFonts w:hint="eastAsia" w:ascii="仿宋_GB2312" w:hAnsi="仿宋" w:eastAsia="仿宋_GB2312"/>
          <w:color w:val="000000"/>
          <w:spacing w:val="-20"/>
          <w:kern w:val="0"/>
          <w:sz w:val="28"/>
          <w:szCs w:val="28"/>
        </w:rPr>
        <w:t>罚</w:t>
      </w:r>
      <w:r>
        <w:rPr>
          <w:rFonts w:hint="eastAsia" w:ascii="仿宋_GB2312" w:hAnsi="仿宋" w:eastAsia="仿宋_GB2312"/>
          <w:color w:val="000000"/>
          <w:spacing w:val="-20"/>
          <w:sz w:val="28"/>
          <w:szCs w:val="28"/>
        </w:rPr>
        <w:t>〔2018〕</w:t>
      </w:r>
      <w:r>
        <w:rPr>
          <w:rFonts w:hint="eastAsia" w:ascii="仿宋_GB2312" w:hAnsi="仿宋" w:eastAsia="仿宋_GB2312"/>
          <w:color w:val="000000"/>
          <w:spacing w:val="-20"/>
          <w:sz w:val="28"/>
          <w:szCs w:val="28"/>
          <w:lang w:val="en-US" w:eastAsia="zh-CN"/>
        </w:rPr>
        <w:t>24</w:t>
      </w:r>
      <w:r>
        <w:rPr>
          <w:rFonts w:hint="eastAsia" w:ascii="仿宋_GB2312" w:hAnsi="仿宋" w:eastAsia="仿宋_GB2312"/>
          <w:color w:val="000000"/>
          <w:spacing w:val="-20"/>
          <w:kern w:val="0"/>
          <w:sz w:val="28"/>
          <w:szCs w:val="28"/>
        </w:rPr>
        <w:t xml:space="preserve">号 </w:t>
      </w:r>
      <w:r>
        <w:rPr>
          <w:rFonts w:hint="eastAsia" w:ascii="仿宋_GB2312" w:hAnsi="仿宋" w:eastAsia="仿宋_GB2312"/>
          <w:color w:val="000000"/>
          <w:spacing w:val="-20"/>
          <w:kern w:val="0"/>
          <w:sz w:val="28"/>
          <w:szCs w:val="28"/>
          <w:lang w:val="en-US" w:eastAsia="zh-CN"/>
        </w:rPr>
        <w:t xml:space="preserve">  </w:t>
      </w:r>
      <w:r>
        <w:rPr>
          <w:rFonts w:hint="eastAsia" w:ascii="仿宋_GB2312" w:hAnsi="仿宋" w:eastAsia="仿宋_GB2312"/>
          <w:color w:val="000000"/>
          <w:spacing w:val="-20"/>
          <w:kern w:val="0"/>
          <w:sz w:val="28"/>
          <w:szCs w:val="28"/>
        </w:rPr>
        <w:t>第</w:t>
      </w:r>
      <w:r>
        <w:rPr>
          <w:rFonts w:hint="eastAsia" w:ascii="仿宋_GB2312" w:hAnsi="仿宋" w:eastAsia="仿宋_GB2312"/>
          <w:color w:val="000000"/>
          <w:spacing w:val="-20"/>
          <w:kern w:val="0"/>
          <w:sz w:val="28"/>
          <w:szCs w:val="28"/>
          <w:lang w:val="en-US" w:eastAsia="zh-CN"/>
        </w:rPr>
        <w:t>3</w:t>
      </w:r>
      <w:r>
        <w:rPr>
          <w:rFonts w:hint="eastAsia" w:ascii="仿宋_GB2312" w:hAnsi="仿宋" w:eastAsia="仿宋_GB2312"/>
          <w:color w:val="000000"/>
          <w:spacing w:val="-20"/>
          <w:kern w:val="0"/>
          <w:sz w:val="28"/>
          <w:szCs w:val="28"/>
        </w:rPr>
        <w:t>页 共</w:t>
      </w:r>
      <w:r>
        <w:rPr>
          <w:rFonts w:hint="eastAsia" w:ascii="仿宋_GB2312" w:hAnsi="仿宋" w:eastAsia="仿宋_GB2312"/>
          <w:color w:val="000000"/>
          <w:spacing w:val="-20"/>
          <w:kern w:val="0"/>
          <w:sz w:val="28"/>
          <w:szCs w:val="28"/>
          <w:lang w:val="en-US" w:eastAsia="zh-CN"/>
        </w:rPr>
        <w:t>3</w:t>
      </w:r>
      <w:r>
        <w:rPr>
          <w:rFonts w:hint="eastAsia" w:ascii="仿宋_GB2312" w:hAnsi="仿宋" w:eastAsia="仿宋_GB2312"/>
          <w:color w:val="000000"/>
          <w:spacing w:val="-20"/>
          <w:kern w:val="0"/>
          <w:sz w:val="28"/>
          <w:szCs w:val="28"/>
        </w:rPr>
        <w:t>页</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right="0" w:right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“违反本法规定，有下列情形之一，尚不构成犯罪的，由县</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right="0" w:rightChars="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级以上人民政府食品药品监督管理部门没收违法所得和违法生产经营的食品、食品添加剂，并可以没收用于违法生产经营的工具、设备、原料等物品；违法生产经营的食品、食</w:t>
      </w:r>
    </w:p>
    <w:p>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0" w:firstLineChars="0"/>
        <w:jc w:val="both"/>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sz w:val="32"/>
          <w:szCs w:val="32"/>
        </w:rPr>
        <w:t>品添加剂货值金额不足一万元的，并处五万元以上十万元以下罚款；货值金额一万元以上的，并处货值金额十倍以上二</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left="0" w:leftChars="0" w:right="0" w:rightChars="0" w:firstLine="0" w:firstLineChars="0"/>
        <w:jc w:val="both"/>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sz w:val="32"/>
          <w:szCs w:val="32"/>
        </w:rPr>
        <w:t>十倍以下罚款；情节严重的，吊销许可证：……；（五）生产经营标注虚假生产日期、保质期或者超过保质期的食品、食品添加剂；……“的规定，</w:t>
      </w:r>
      <w:r>
        <w:rPr>
          <w:rFonts w:hint="eastAsia" w:ascii="仿宋" w:hAnsi="仿宋" w:eastAsia="仿宋" w:cs="仿宋"/>
          <w:bCs/>
          <w:color w:val="000000"/>
          <w:sz w:val="32"/>
          <w:szCs w:val="32"/>
        </w:rPr>
        <w:t>鉴于你单位无主观恶意，主动</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right="0" w:rightChars="0"/>
        <w:textAlignment w:val="auto"/>
        <w:outlineLvl w:val="9"/>
        <w:rPr>
          <w:rFonts w:hint="eastAsia" w:ascii="仿宋" w:hAnsi="仿宋" w:eastAsia="仿宋" w:cs="仿宋"/>
          <w:color w:val="000000"/>
          <w:sz w:val="32"/>
          <w:szCs w:val="32"/>
        </w:rPr>
      </w:pPr>
      <w:r>
        <w:rPr>
          <w:rFonts w:hint="eastAsia" w:ascii="仿宋" w:hAnsi="仿宋" w:eastAsia="仿宋" w:cs="仿宋"/>
          <w:bCs/>
          <w:color w:val="000000"/>
          <w:sz w:val="32"/>
          <w:szCs w:val="32"/>
        </w:rPr>
        <w:t>停止违法行为，违法行为未造成严重后果，并积极配合我部门调查，本局决定对你单位减轻处罚如下：1、没收</w:t>
      </w:r>
      <w:r>
        <w:rPr>
          <w:rFonts w:hint="eastAsia" w:ascii="仿宋" w:hAnsi="仿宋" w:eastAsia="仿宋" w:cs="仿宋"/>
          <w:bCs/>
          <w:color w:val="000000"/>
          <w:sz w:val="32"/>
          <w:szCs w:val="32"/>
          <w:lang w:eastAsia="zh-CN"/>
        </w:rPr>
        <w:t>涉案食品（详见没收物品凭证）</w:t>
      </w:r>
      <w:r>
        <w:rPr>
          <w:rFonts w:hint="eastAsia" w:ascii="仿宋" w:hAnsi="仿宋" w:eastAsia="仿宋" w:cs="仿宋"/>
          <w:bCs/>
          <w:color w:val="000000"/>
          <w:sz w:val="32"/>
          <w:szCs w:val="32"/>
        </w:rPr>
        <w:t>；2、罚款10000元。</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right="0" w:rightChars="0"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请在接到本处</w:t>
      </w:r>
      <w:bookmarkStart w:id="0" w:name="_GoBack"/>
      <w:bookmarkEnd w:id="0"/>
      <w:r>
        <w:rPr>
          <w:rFonts w:hint="eastAsia" w:ascii="仿宋" w:hAnsi="仿宋" w:eastAsia="仿宋" w:cs="仿宋"/>
          <w:color w:val="000000"/>
          <w:sz w:val="32"/>
          <w:szCs w:val="32"/>
        </w:rPr>
        <w:t>罚决定书之日起15日内将罚没款缴到广</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right="0" w:rightChars="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州市非税收入缴款通知书上指定的银行。逾期不缴纳罚没款的，根据《中华人民共和国行政处罚法》第五十一条第一项的规定，每日按罚款数额的3%加处罚款，并将依法申请人民法院强制执行。</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val="0"/>
        <w:snapToGrid w:val="0"/>
        <w:spacing w:line="440" w:lineRule="exact"/>
        <w:ind w:right="0" w:rightChars="0" w:firstLine="640" w:firstLineChars="200"/>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240" w:lineRule="auto"/>
        <w:ind w:right="0" w:rightChars="0" w:firstLine="640" w:firstLineChars="200"/>
        <w:textAlignment w:val="auto"/>
        <w:outlineLvl w:val="9"/>
        <w:rPr>
          <w:rFonts w:hint="eastAsia" w:ascii="仿宋" w:hAnsi="仿宋" w:eastAsia="仿宋" w:cs="仿宋"/>
          <w:color w:val="000000"/>
          <w:sz w:val="32"/>
          <w:szCs w:val="32"/>
        </w:rPr>
      </w:pPr>
    </w:p>
    <w:p>
      <w:pPr>
        <w:pStyle w:val="6"/>
        <w:spacing w:before="0" w:after="0"/>
        <w:jc w:val="center"/>
        <w:rPr>
          <w:rFonts w:hint="eastAsia" w:ascii="仿宋" w:hAnsi="仿宋" w:eastAsia="仿宋" w:cs="仿宋"/>
          <w:b/>
          <w:color w:val="000000"/>
          <w:sz w:val="32"/>
        </w:rPr>
      </w:pPr>
    </w:p>
    <w:p>
      <w:pPr>
        <w:keepNext w:val="0"/>
        <w:keepLines w:val="0"/>
        <w:pageBreakBefore w:val="0"/>
        <w:widowControl/>
        <w:kinsoku/>
        <w:wordWrap/>
        <w:overflowPunct/>
        <w:topLinePunct w:val="0"/>
        <w:bidi w:val="0"/>
        <w:adjustRightInd w:val="0"/>
        <w:snapToGrid w:val="0"/>
        <w:spacing w:line="240" w:lineRule="auto"/>
        <w:ind w:right="0" w:rightChars="0"/>
        <w:jc w:val="righ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广州市增城区食品药品监督管理局</w:t>
      </w:r>
    </w:p>
    <w:p>
      <w:pPr>
        <w:keepNext w:val="0"/>
        <w:keepLines w:val="0"/>
        <w:pageBreakBefore w:val="0"/>
        <w:widowControl/>
        <w:kinsoku/>
        <w:wordWrap/>
        <w:overflowPunct/>
        <w:topLinePunct w:val="0"/>
        <w:bidi w:val="0"/>
        <w:adjustRightInd w:val="0"/>
        <w:snapToGrid w:val="0"/>
        <w:spacing w:line="240" w:lineRule="auto"/>
        <w:ind w:right="0" w:rightChars="0" w:firstLine="4800" w:firstLineChars="15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2018年 </w:t>
      </w:r>
      <w:r>
        <w:rPr>
          <w:rFonts w:hint="eastAsia" w:ascii="仿宋" w:hAnsi="仿宋" w:eastAsia="仿宋" w:cs="仿宋"/>
          <w:color w:val="000000"/>
          <w:kern w:val="0"/>
          <w:sz w:val="32"/>
          <w:szCs w:val="32"/>
          <w:lang w:val="en-US" w:eastAsia="zh-CN"/>
        </w:rPr>
        <w:t xml:space="preserve">7 </w:t>
      </w:r>
      <w:r>
        <w:rPr>
          <w:rFonts w:hint="eastAsia" w:ascii="仿宋" w:hAnsi="仿宋" w:eastAsia="仿宋" w:cs="仿宋"/>
          <w:color w:val="000000"/>
          <w:kern w:val="0"/>
          <w:sz w:val="32"/>
          <w:szCs w:val="32"/>
        </w:rPr>
        <w:t>月</w:t>
      </w:r>
      <w:r>
        <w:rPr>
          <w:rFonts w:hint="eastAsia" w:ascii="仿宋" w:hAnsi="仿宋" w:eastAsia="仿宋" w:cs="仿宋"/>
          <w:color w:val="000000"/>
          <w:kern w:val="0"/>
          <w:sz w:val="32"/>
          <w:szCs w:val="32"/>
          <w:lang w:val="en-US" w:eastAsia="zh-CN"/>
        </w:rPr>
        <w:t xml:space="preserve"> 24 </w:t>
      </w:r>
      <w:r>
        <w:rPr>
          <w:rFonts w:hint="eastAsia" w:ascii="仿宋" w:hAnsi="仿宋" w:eastAsia="仿宋" w:cs="仿宋"/>
          <w:color w:val="000000"/>
          <w:kern w:val="0"/>
          <w:sz w:val="32"/>
          <w:szCs w:val="32"/>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docPartObj>
        <w:docPartGallery w:val="autotext"/>
      </w:docPartObj>
    </w:sdtPr>
    <w:sdtContent>
      <w:sdt>
        <w:sdtPr>
          <w:id w:val="98381352"/>
          <w:docPartObj>
            <w:docPartGallery w:val="autotext"/>
          </w:docPartObj>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51C4E"/>
    <w:rsid w:val="00055430"/>
    <w:rsid w:val="00070A16"/>
    <w:rsid w:val="000761B1"/>
    <w:rsid w:val="00091769"/>
    <w:rsid w:val="000A0226"/>
    <w:rsid w:val="000B213A"/>
    <w:rsid w:val="00123D3B"/>
    <w:rsid w:val="001267FF"/>
    <w:rsid w:val="001724F1"/>
    <w:rsid w:val="00172A27"/>
    <w:rsid w:val="00186E6C"/>
    <w:rsid w:val="00190F95"/>
    <w:rsid w:val="001D680D"/>
    <w:rsid w:val="00210CC1"/>
    <w:rsid w:val="00212A10"/>
    <w:rsid w:val="00214984"/>
    <w:rsid w:val="00242550"/>
    <w:rsid w:val="002509EA"/>
    <w:rsid w:val="00250C5A"/>
    <w:rsid w:val="002613FC"/>
    <w:rsid w:val="00271746"/>
    <w:rsid w:val="0029493C"/>
    <w:rsid w:val="00294F73"/>
    <w:rsid w:val="002A19EA"/>
    <w:rsid w:val="002A3D72"/>
    <w:rsid w:val="002B68B8"/>
    <w:rsid w:val="002D11C4"/>
    <w:rsid w:val="002E0939"/>
    <w:rsid w:val="002E1853"/>
    <w:rsid w:val="00320D30"/>
    <w:rsid w:val="003375C5"/>
    <w:rsid w:val="0033779E"/>
    <w:rsid w:val="00341E64"/>
    <w:rsid w:val="003424C4"/>
    <w:rsid w:val="00347BA8"/>
    <w:rsid w:val="00355A0D"/>
    <w:rsid w:val="003A57EE"/>
    <w:rsid w:val="003B6508"/>
    <w:rsid w:val="003C796A"/>
    <w:rsid w:val="003D7049"/>
    <w:rsid w:val="003E3219"/>
    <w:rsid w:val="0040436D"/>
    <w:rsid w:val="00406B2B"/>
    <w:rsid w:val="00417A77"/>
    <w:rsid w:val="00460792"/>
    <w:rsid w:val="0047064C"/>
    <w:rsid w:val="004A02DE"/>
    <w:rsid w:val="004B229A"/>
    <w:rsid w:val="005003F4"/>
    <w:rsid w:val="005132B7"/>
    <w:rsid w:val="00517A45"/>
    <w:rsid w:val="00542650"/>
    <w:rsid w:val="00590AA2"/>
    <w:rsid w:val="005C74CA"/>
    <w:rsid w:val="005D150B"/>
    <w:rsid w:val="005F3093"/>
    <w:rsid w:val="005F412D"/>
    <w:rsid w:val="005F6961"/>
    <w:rsid w:val="00620B38"/>
    <w:rsid w:val="00630D1B"/>
    <w:rsid w:val="00645D72"/>
    <w:rsid w:val="00665044"/>
    <w:rsid w:val="00685CAC"/>
    <w:rsid w:val="006B78CB"/>
    <w:rsid w:val="006D2383"/>
    <w:rsid w:val="006D4FCF"/>
    <w:rsid w:val="006F17DE"/>
    <w:rsid w:val="007176F4"/>
    <w:rsid w:val="007237C0"/>
    <w:rsid w:val="0074054B"/>
    <w:rsid w:val="007502F7"/>
    <w:rsid w:val="0076087A"/>
    <w:rsid w:val="00766C4C"/>
    <w:rsid w:val="00776373"/>
    <w:rsid w:val="00784472"/>
    <w:rsid w:val="00801522"/>
    <w:rsid w:val="00880B95"/>
    <w:rsid w:val="0089247D"/>
    <w:rsid w:val="00901AFA"/>
    <w:rsid w:val="00905030"/>
    <w:rsid w:val="00915A2F"/>
    <w:rsid w:val="00966A89"/>
    <w:rsid w:val="00991A38"/>
    <w:rsid w:val="009B680F"/>
    <w:rsid w:val="009C2121"/>
    <w:rsid w:val="00A04BFA"/>
    <w:rsid w:val="00A47DB0"/>
    <w:rsid w:val="00AA1B06"/>
    <w:rsid w:val="00AD5E6D"/>
    <w:rsid w:val="00B05171"/>
    <w:rsid w:val="00B13FCC"/>
    <w:rsid w:val="00B16AB9"/>
    <w:rsid w:val="00B177AC"/>
    <w:rsid w:val="00B25CB0"/>
    <w:rsid w:val="00B56037"/>
    <w:rsid w:val="00B57C34"/>
    <w:rsid w:val="00B7799A"/>
    <w:rsid w:val="00B8083B"/>
    <w:rsid w:val="00B97D3B"/>
    <w:rsid w:val="00BD3AF9"/>
    <w:rsid w:val="00BD7D03"/>
    <w:rsid w:val="00BF181D"/>
    <w:rsid w:val="00BF62A4"/>
    <w:rsid w:val="00C23B73"/>
    <w:rsid w:val="00C23FBA"/>
    <w:rsid w:val="00C31414"/>
    <w:rsid w:val="00C50B19"/>
    <w:rsid w:val="00C87F19"/>
    <w:rsid w:val="00C90614"/>
    <w:rsid w:val="00CC7A9F"/>
    <w:rsid w:val="00CE0008"/>
    <w:rsid w:val="00CF6EFF"/>
    <w:rsid w:val="00D16E3A"/>
    <w:rsid w:val="00D34A26"/>
    <w:rsid w:val="00D43810"/>
    <w:rsid w:val="00D81577"/>
    <w:rsid w:val="00DC1BAB"/>
    <w:rsid w:val="00E11A4D"/>
    <w:rsid w:val="00E90A34"/>
    <w:rsid w:val="00EA6199"/>
    <w:rsid w:val="00EE02C1"/>
    <w:rsid w:val="00F01416"/>
    <w:rsid w:val="00F20057"/>
    <w:rsid w:val="00F2659A"/>
    <w:rsid w:val="00F47E15"/>
    <w:rsid w:val="00F51FDC"/>
    <w:rsid w:val="00F5222B"/>
    <w:rsid w:val="00F5238F"/>
    <w:rsid w:val="00F81037"/>
    <w:rsid w:val="00FA5DA7"/>
    <w:rsid w:val="00FB2D28"/>
    <w:rsid w:val="00FB3FEA"/>
    <w:rsid w:val="00FB44E4"/>
    <w:rsid w:val="00FC1960"/>
    <w:rsid w:val="00FD19A6"/>
    <w:rsid w:val="00FD670C"/>
    <w:rsid w:val="00FF5F12"/>
    <w:rsid w:val="0A4B4078"/>
    <w:rsid w:val="0CE533B1"/>
    <w:rsid w:val="19FE46DD"/>
    <w:rsid w:val="1D5B1513"/>
    <w:rsid w:val="28BB40F6"/>
    <w:rsid w:val="49C204AA"/>
    <w:rsid w:val="4FD34490"/>
    <w:rsid w:val="50442C69"/>
    <w:rsid w:val="52446333"/>
    <w:rsid w:val="57EB0797"/>
    <w:rsid w:val="5BAF3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323</Words>
  <Characters>1842</Characters>
  <Lines>15</Lines>
  <Paragraphs>4</Paragraphs>
  <TotalTime>24</TotalTime>
  <ScaleCrop>false</ScaleCrop>
  <LinksUpToDate>false</LinksUpToDate>
  <CharactersWithSpaces>2161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 Right now</cp:lastModifiedBy>
  <cp:lastPrinted>2018-08-06T07:36:00Z</cp:lastPrinted>
  <dcterms:modified xsi:type="dcterms:W3CDTF">2018-10-26T03:29:11Z</dcterms:modified>
  <dc:title>食品药品行政处罚文书</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